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2CB8" w14:textId="5C52E29F" w:rsidR="00E323F3" w:rsidRDefault="00DE3EEE" w:rsidP="00F2225C">
      <w:pPr>
        <w:pStyle w:val="Titel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616006" wp14:editId="69BA9FF0">
            <wp:simplePos x="0" y="0"/>
            <wp:positionH relativeFrom="margin">
              <wp:posOffset>4229735</wp:posOffset>
            </wp:positionH>
            <wp:positionV relativeFrom="margin">
              <wp:posOffset>2540</wp:posOffset>
            </wp:positionV>
            <wp:extent cx="1530985" cy="2202815"/>
            <wp:effectExtent l="0" t="0" r="0" b="698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42B" w:rsidRPr="00E2442B">
        <w:t xml:space="preserve">Dashboard APQP </w:t>
      </w:r>
      <w:r w:rsidR="00F2225C">
        <w:t xml:space="preserve">Prozess- </w:t>
      </w:r>
      <w:r w:rsidR="00E2442B" w:rsidRPr="00E2442B">
        <w:t xml:space="preserve">und </w:t>
      </w:r>
      <w:r w:rsidR="00886356" w:rsidRPr="00886356">
        <w:t>Qualitätsvorausplanung</w:t>
      </w:r>
    </w:p>
    <w:p w14:paraId="1317E975" w14:textId="28A95E0B" w:rsidR="00DE3EEE" w:rsidRPr="00DE3EEE" w:rsidRDefault="00D37B31" w:rsidP="00DE3EEE">
      <w:pPr>
        <w:pStyle w:val="IntensivesZitat"/>
        <w:rPr>
          <w:rStyle w:val="IntensiverVerweis"/>
        </w:rPr>
      </w:pPr>
      <w:r>
        <w:t>Überblick</w:t>
      </w:r>
      <w:r w:rsidR="00DE3EEE">
        <w:t xml:space="preserve"> und </w:t>
      </w:r>
      <w:r>
        <w:t xml:space="preserve">schneller Einstieg </w:t>
      </w:r>
      <w:r w:rsidR="00DE3EEE">
        <w:t xml:space="preserve">in die Qualitätsprozess-Planung und die strategische </w:t>
      </w:r>
      <w:r w:rsidRPr="00D37B31">
        <w:t>Fertigungsbegleitung</w:t>
      </w:r>
    </w:p>
    <w:p w14:paraId="4BAAD240" w14:textId="7350B70A" w:rsidR="0019238E" w:rsidRDefault="0019238E" w:rsidP="0019238E"/>
    <w:p w14:paraId="49BBDD56" w14:textId="1AB3F1E6" w:rsidR="00140F2C" w:rsidRDefault="00354D13" w:rsidP="0019238E">
      <w:r>
        <w:t xml:space="preserve">Das Dashboard </w:t>
      </w:r>
      <w:r w:rsidR="0019238E" w:rsidRPr="0019238E">
        <w:t xml:space="preserve"> zur Qualitätsvorausplanung zeigt </w:t>
      </w:r>
      <w:r>
        <w:t>I</w:t>
      </w:r>
      <w:r w:rsidR="0019238E" w:rsidRPr="0019238E">
        <w:t xml:space="preserve">hnen ausgewählte Kennzahlen aus </w:t>
      </w:r>
      <w:r w:rsidR="00EA5A1E">
        <w:t>I</w:t>
      </w:r>
      <w:r w:rsidR="0019238E" w:rsidRPr="0019238E">
        <w:t>hrer Fertigung</w:t>
      </w:r>
      <w:r>
        <w:t>, der</w:t>
      </w:r>
      <w:r w:rsidR="0019238E" w:rsidRPr="0019238E">
        <w:t xml:space="preserve"> begleitenden Qualitätssicherung und der Qualitätsplanung a</w:t>
      </w:r>
      <w:r w:rsidR="0019238E">
        <w:t xml:space="preserve">n. Sie sehen die </w:t>
      </w:r>
      <w:r>
        <w:t>Vorgaben</w:t>
      </w:r>
      <w:r w:rsidR="0019238E">
        <w:t xml:space="preserve"> zu den </w:t>
      </w:r>
      <w:r w:rsidR="0019238E" w:rsidRPr="0019238E">
        <w:t>strategischen</w:t>
      </w:r>
      <w:r w:rsidR="0019238E">
        <w:t xml:space="preserve"> Zielwerten, </w:t>
      </w:r>
      <w:r>
        <w:t>hinsichtlich</w:t>
      </w:r>
      <w:r w:rsidR="0019238E">
        <w:t xml:space="preserve"> der wichtigen </w:t>
      </w:r>
      <w:r>
        <w:t xml:space="preserve">Kennwerte bei Produkten. </w:t>
      </w:r>
      <w:r w:rsidR="0019238E">
        <w:t>S</w:t>
      </w:r>
      <w:r>
        <w:t>ie</w:t>
      </w:r>
      <w:r w:rsidR="0019238E">
        <w:t xml:space="preserve"> </w:t>
      </w:r>
      <w:r>
        <w:t>erhalten</w:t>
      </w:r>
      <w:r w:rsidR="0019238E">
        <w:t xml:space="preserve"> </w:t>
      </w:r>
      <w:r>
        <w:t>einen</w:t>
      </w:r>
      <w:r w:rsidR="0019238E">
        <w:t xml:space="preserve"> </w:t>
      </w:r>
      <w:r>
        <w:t>schnellen Überblick</w:t>
      </w:r>
      <w:r w:rsidR="0019238E">
        <w:t xml:space="preserve"> zum </w:t>
      </w:r>
      <w:r>
        <w:t>Zertifizierungs</w:t>
      </w:r>
      <w:r w:rsidR="0019238E">
        <w:t>- und Na</w:t>
      </w:r>
      <w:r>
        <w:t>c</w:t>
      </w:r>
      <w:r w:rsidR="0019238E">
        <w:t>h</w:t>
      </w:r>
      <w:r>
        <w:t>w</w:t>
      </w:r>
      <w:r w:rsidR="0019238E">
        <w:t xml:space="preserve">eisstand </w:t>
      </w:r>
      <w:r>
        <w:t>Ihrer</w:t>
      </w:r>
      <w:r w:rsidR="0019238E">
        <w:t xml:space="preserve"> </w:t>
      </w:r>
      <w:r>
        <w:t>Lieferanten</w:t>
      </w:r>
      <w:r w:rsidR="0019238E">
        <w:t xml:space="preserve"> </w:t>
      </w:r>
      <w:r>
        <w:t>und externen Dienstleister</w:t>
      </w:r>
      <w:r w:rsidR="007D33CC">
        <w:t xml:space="preserve">, </w:t>
      </w:r>
      <w:r>
        <w:t>hinsichtlich der Bemusterungsstände</w:t>
      </w:r>
      <w:r w:rsidR="0019238E">
        <w:t xml:space="preserve"> und </w:t>
      </w:r>
      <w:r>
        <w:t>Rückmeldungen</w:t>
      </w:r>
      <w:r w:rsidR="006D47E6">
        <w:t>.</w:t>
      </w:r>
      <w:r w:rsidR="00E81D88">
        <w:t xml:space="preserve"> </w:t>
      </w:r>
      <w:r w:rsidR="00140F2C">
        <w:t xml:space="preserve">Die internen </w:t>
      </w:r>
      <w:r>
        <w:t>Vorgaben</w:t>
      </w:r>
      <w:r w:rsidR="00140F2C">
        <w:t xml:space="preserve"> für die </w:t>
      </w:r>
      <w:r>
        <w:t>besonderen</w:t>
      </w:r>
      <w:r w:rsidR="00140F2C">
        <w:t xml:space="preserve"> </w:t>
      </w:r>
      <w:r>
        <w:t>Merkmale</w:t>
      </w:r>
      <w:r w:rsidR="00140F2C">
        <w:t xml:space="preserve"> innerhalb der </w:t>
      </w:r>
      <w:r>
        <w:t>Prozessfähigkeit</w:t>
      </w:r>
      <w:r w:rsidR="00140F2C">
        <w:t xml:space="preserve"> sind ebenso ersichtlich</w:t>
      </w:r>
      <w:r>
        <w:t>,</w:t>
      </w:r>
      <w:r w:rsidR="00140F2C">
        <w:t xml:space="preserve"> wie die </w:t>
      </w:r>
      <w:r w:rsidRPr="00354D13">
        <w:t>Gesamt</w:t>
      </w:r>
      <w:r>
        <w:t>v</w:t>
      </w:r>
      <w:r w:rsidRPr="00354D13">
        <w:t xml:space="preserve">isualisierung </w:t>
      </w:r>
      <w:r w:rsidR="00140F2C">
        <w:t xml:space="preserve">zur Verteilung des </w:t>
      </w:r>
      <w:r w:rsidRPr="00354D13">
        <w:t xml:space="preserve">Fehleraufkommens </w:t>
      </w:r>
      <w:r>
        <w:t>nach</w:t>
      </w:r>
      <w:r w:rsidR="00140F2C">
        <w:t xml:space="preserve"> den </w:t>
      </w:r>
      <w:r w:rsidRPr="00354D13">
        <w:t xml:space="preserve">Produktgruppen </w:t>
      </w:r>
      <w:r w:rsidR="001B533E">
        <w:t xml:space="preserve">in der </w:t>
      </w:r>
      <w:proofErr w:type="spellStart"/>
      <w:r w:rsidR="001B533E">
        <w:t>Sunburst</w:t>
      </w:r>
      <w:proofErr w:type="spellEnd"/>
      <w:r w:rsidR="001B533E">
        <w:t>-Dar</w:t>
      </w:r>
      <w:r>
        <w:t>s</w:t>
      </w:r>
      <w:r w:rsidR="001B533E">
        <w:t>tellung</w:t>
      </w:r>
      <w:r w:rsidR="00140F2C">
        <w:t xml:space="preserve">. Über die </w:t>
      </w:r>
      <w:r w:rsidRPr="00354D13">
        <w:t>Risikoeinstufung</w:t>
      </w:r>
      <w:r>
        <w:t>en</w:t>
      </w:r>
      <w:r w:rsidRPr="00354D13">
        <w:t xml:space="preserve"> </w:t>
      </w:r>
      <w:r w:rsidR="00140F2C">
        <w:t xml:space="preserve">nach </w:t>
      </w:r>
      <w:r>
        <w:t>Auftreten</w:t>
      </w:r>
      <w:r w:rsidR="00140F2C">
        <w:t xml:space="preserve">, </w:t>
      </w:r>
      <w:r>
        <w:t>Bedeutung</w:t>
      </w:r>
      <w:r w:rsidR="00140F2C">
        <w:t xml:space="preserve"> und </w:t>
      </w:r>
      <w:r>
        <w:t>E</w:t>
      </w:r>
      <w:r w:rsidRPr="00354D13">
        <w:t xml:space="preserve">ntdeckungswahrscheinlichkeit </w:t>
      </w:r>
      <w:r w:rsidR="00140F2C">
        <w:t xml:space="preserve">aus den </w:t>
      </w:r>
      <w:r w:rsidRPr="00354D13">
        <w:t xml:space="preserve">verknüpften </w:t>
      </w:r>
      <w:r w:rsidR="00140F2C">
        <w:t>FMEA</w:t>
      </w:r>
      <w:r>
        <w:t>,</w:t>
      </w:r>
      <w:r w:rsidR="00140F2C">
        <w:t xml:space="preserve"> ergebe</w:t>
      </w:r>
      <w:r>
        <w:t>n</w:t>
      </w:r>
      <w:r w:rsidR="00140F2C">
        <w:t xml:space="preserve"> </w:t>
      </w:r>
      <w:r w:rsidR="00131E70">
        <w:t>sich</w:t>
      </w:r>
      <w:r w:rsidR="00140F2C">
        <w:t xml:space="preserve"> </w:t>
      </w:r>
      <w:r>
        <w:t>Einschätzung</w:t>
      </w:r>
      <w:r w:rsidR="00131E70">
        <w:t>en</w:t>
      </w:r>
      <w:r w:rsidR="00140F2C">
        <w:t xml:space="preserve"> zur </w:t>
      </w:r>
      <w:r w:rsidRPr="00354D13">
        <w:t xml:space="preserve">Risikoverteilung </w:t>
      </w:r>
      <w:r>
        <w:t>innerhalb</w:t>
      </w:r>
      <w:r w:rsidR="00140F2C">
        <w:t xml:space="preserve"> </w:t>
      </w:r>
      <w:r>
        <w:t>d</w:t>
      </w:r>
      <w:r w:rsidR="00140F2C">
        <w:t xml:space="preserve">es </w:t>
      </w:r>
      <w:r w:rsidRPr="00354D13">
        <w:t>Prozessgeschehen</w:t>
      </w:r>
      <w:r>
        <w:t>s</w:t>
      </w:r>
      <w:r w:rsidR="00140F2C">
        <w:t xml:space="preserve">. Die Bewertung der </w:t>
      </w:r>
      <w:r>
        <w:t>einzelnen FMEA</w:t>
      </w:r>
      <w:r w:rsidR="00140F2C">
        <w:t xml:space="preserve"> kann </w:t>
      </w:r>
      <w:r>
        <w:t>klassisch</w:t>
      </w:r>
      <w:r w:rsidR="00140F2C">
        <w:t xml:space="preserve"> nach </w:t>
      </w:r>
      <w:r w:rsidRPr="00354D13">
        <w:t>R</w:t>
      </w:r>
      <w:r w:rsidR="00131E70">
        <w:t>i</w:t>
      </w:r>
      <w:r w:rsidRPr="00354D13">
        <w:t xml:space="preserve">sikoprioritätszahl </w:t>
      </w:r>
      <w:r w:rsidR="00140F2C">
        <w:t xml:space="preserve">(RPZ) oder nach der neuen </w:t>
      </w:r>
      <w:r w:rsidRPr="00354D13">
        <w:t xml:space="preserve">Aufgabenpriorität </w:t>
      </w:r>
      <w:r w:rsidR="007D33CC">
        <w:t>erfolgen</w:t>
      </w:r>
      <w:r w:rsidR="00140F2C">
        <w:t xml:space="preserve">. Die </w:t>
      </w:r>
      <w:r>
        <w:t>Verteilung</w:t>
      </w:r>
      <w:r w:rsidR="00140F2C">
        <w:t xml:space="preserve"> nach Typen aus den Fertigungsbe</w:t>
      </w:r>
      <w:r w:rsidR="00BC7EB4">
        <w:t>gleit</w:t>
      </w:r>
      <w:r w:rsidR="00140F2C">
        <w:t xml:space="preserve">- und </w:t>
      </w:r>
      <w:r>
        <w:t>Prüfplänen</w:t>
      </w:r>
      <w:r w:rsidR="00140F2C">
        <w:t xml:space="preserve"> zeig</w:t>
      </w:r>
      <w:r>
        <w:t>t</w:t>
      </w:r>
      <w:r w:rsidR="00BC7EB4">
        <w:t>,</w:t>
      </w:r>
      <w:r w:rsidR="00140F2C">
        <w:t xml:space="preserve"> wie </w:t>
      </w:r>
      <w:r>
        <w:t>sich</w:t>
      </w:r>
      <w:r w:rsidR="00140F2C">
        <w:t xml:space="preserve"> Serie, </w:t>
      </w:r>
      <w:r>
        <w:t xml:space="preserve">Vorserie, Prototypen und </w:t>
      </w:r>
      <w:r w:rsidR="00140F2C">
        <w:t xml:space="preserve"> </w:t>
      </w:r>
      <w:r>
        <w:t>Versuche</w:t>
      </w:r>
      <w:r w:rsidR="00140F2C">
        <w:t xml:space="preserve"> aktiv </w:t>
      </w:r>
      <w:r>
        <w:t>verteilen</w:t>
      </w:r>
      <w:r w:rsidR="00140F2C">
        <w:t xml:space="preserve">. Der Prozessplan </w:t>
      </w:r>
      <w:r>
        <w:t>ermöglicht</w:t>
      </w:r>
      <w:r w:rsidR="00140F2C">
        <w:t xml:space="preserve"> neben </w:t>
      </w:r>
      <w:r>
        <w:t>der FMEA</w:t>
      </w:r>
      <w:r w:rsidR="00140F2C">
        <w:t xml:space="preserve"> den </w:t>
      </w:r>
      <w:r>
        <w:t>Einstieg in</w:t>
      </w:r>
      <w:r w:rsidR="00140F2C">
        <w:t xml:space="preserve"> die vorausgehende Planung </w:t>
      </w:r>
      <w:r>
        <w:t xml:space="preserve">bei </w:t>
      </w:r>
      <w:r w:rsidR="00140F2C">
        <w:t xml:space="preserve">der </w:t>
      </w:r>
      <w:r>
        <w:t>Prozess</w:t>
      </w:r>
      <w:r w:rsidR="00140F2C">
        <w:t xml:space="preserve">- und </w:t>
      </w:r>
      <w:r>
        <w:t>Strukturanalyse</w:t>
      </w:r>
      <w:r w:rsidR="00140F2C">
        <w:t>.</w:t>
      </w:r>
    </w:p>
    <w:p w14:paraId="5C57B2E9" w14:textId="77777777" w:rsidR="00885186" w:rsidRDefault="00140F2C" w:rsidP="00885186">
      <w:pPr>
        <w:keepNext/>
      </w:pPr>
      <w:r>
        <w:rPr>
          <w:noProof/>
        </w:rPr>
        <w:drawing>
          <wp:inline distT="0" distB="0" distL="0" distR="0" wp14:anchorId="71EBD02E" wp14:editId="43B78DA3">
            <wp:extent cx="5760720" cy="3219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EAF10" w14:textId="00C832DD" w:rsidR="00140F2C" w:rsidRDefault="00885186" w:rsidP="00885186">
      <w:pPr>
        <w:pStyle w:val="Beschriftung"/>
      </w:pPr>
      <w:r>
        <w:t xml:space="preserve">Abbildung </w:t>
      </w:r>
      <w:r w:rsidR="00E8232C">
        <w:fldChar w:fldCharType="begin"/>
      </w:r>
      <w:r w:rsidR="00E8232C">
        <w:instrText xml:space="preserve"> SEQ Abbildung \* ARABIC </w:instrText>
      </w:r>
      <w:r w:rsidR="00E8232C">
        <w:fldChar w:fldCharType="separate"/>
      </w:r>
      <w:r w:rsidR="00E30E5B">
        <w:rPr>
          <w:noProof/>
        </w:rPr>
        <w:t>1</w:t>
      </w:r>
      <w:r w:rsidR="00E8232C">
        <w:rPr>
          <w:noProof/>
        </w:rPr>
        <w:fldChar w:fldCharType="end"/>
      </w:r>
      <w:r>
        <w:t>: APQP-</w:t>
      </w:r>
      <w:r w:rsidR="00DE073D">
        <w:t>Dashboard</w:t>
      </w:r>
      <w:r>
        <w:t xml:space="preserve"> für die Qualitäts- und Prozessplanung</w:t>
      </w:r>
    </w:p>
    <w:p w14:paraId="52D4A8E6" w14:textId="1F9DFDFF" w:rsidR="00DE073D" w:rsidRDefault="00027004" w:rsidP="000B6A3F">
      <w:pPr>
        <w:pStyle w:val="berschrift1"/>
      </w:pPr>
      <w:r>
        <w:lastRenderedPageBreak/>
        <w:t>Überblick</w:t>
      </w:r>
      <w:r w:rsidR="00DE073D">
        <w:t xml:space="preserve"> über die Bereiche</w:t>
      </w:r>
    </w:p>
    <w:p w14:paraId="5011ECA5" w14:textId="796C6841" w:rsidR="00DE073D" w:rsidRDefault="000B6A3F">
      <w:r>
        <w:t>Die</w:t>
      </w:r>
      <w:r w:rsidR="00DE073D">
        <w:t xml:space="preserve"> </w:t>
      </w:r>
      <w:r w:rsidR="00027004">
        <w:t>einzelnen</w:t>
      </w:r>
      <w:r w:rsidR="00DE073D">
        <w:t xml:space="preserve"> </w:t>
      </w:r>
      <w:r w:rsidR="00027004">
        <w:t>Kacheln</w:t>
      </w:r>
      <w:r>
        <w:t xml:space="preserve"> </w:t>
      </w:r>
      <w:r w:rsidR="00027004">
        <w:t>innerhalb d</w:t>
      </w:r>
      <w:r>
        <w:t xml:space="preserve">es </w:t>
      </w:r>
      <w:r w:rsidR="00027004">
        <w:t>Cockpits</w:t>
      </w:r>
      <w:r>
        <w:t xml:space="preserve"> </w:t>
      </w:r>
      <w:r w:rsidR="00027004">
        <w:t xml:space="preserve">erlauben </w:t>
      </w:r>
      <w:r>
        <w:t xml:space="preserve">den </w:t>
      </w:r>
      <w:r w:rsidR="00DE073D">
        <w:t xml:space="preserve">Einstieg in die </w:t>
      </w:r>
      <w:r w:rsidR="00027004" w:rsidRPr="00027004">
        <w:t xml:space="preserve">darunterliegenden </w:t>
      </w:r>
      <w:r w:rsidR="00027004">
        <w:t>Bereiche</w:t>
      </w:r>
      <w:r>
        <w:t xml:space="preserve">, </w:t>
      </w:r>
      <w:r w:rsidR="00027004">
        <w:t>ähnlich</w:t>
      </w:r>
      <w:r>
        <w:t xml:space="preserve">  wie Sie es </w:t>
      </w:r>
      <w:r w:rsidR="00027004">
        <w:t>von</w:t>
      </w:r>
      <w:r>
        <w:t xml:space="preserve"> den Programmmenüs </w:t>
      </w:r>
      <w:r w:rsidR="00027004">
        <w:t>gewohnt</w:t>
      </w:r>
      <w:r>
        <w:t xml:space="preserve"> sind.</w:t>
      </w:r>
    </w:p>
    <w:p w14:paraId="583A6423" w14:textId="1C5FE345" w:rsidR="000B6A3F" w:rsidRDefault="000B6A3F" w:rsidP="00015C7D">
      <w:pPr>
        <w:pStyle w:val="berschrift1"/>
      </w:pPr>
      <w:r w:rsidRPr="000B6A3F">
        <w:t>Prozessplanung</w:t>
      </w:r>
    </w:p>
    <w:p w14:paraId="259E807F" w14:textId="41FD020D" w:rsidR="00167743" w:rsidRPr="00167743" w:rsidRDefault="00DE3EEE" w:rsidP="00167743">
      <w:r w:rsidRPr="00DE3EEE">
        <w:t>Im Bereich der Prozessplanung werden die grundlegenden Strukturen gelegt</w:t>
      </w:r>
      <w:r w:rsidR="00B254EC">
        <w:t>,</w:t>
      </w:r>
      <w:r w:rsidRPr="00DE3EEE">
        <w:t xml:space="preserve"> die</w:t>
      </w:r>
      <w:r w:rsidR="00B254EC">
        <w:t xml:space="preserve"> bei</w:t>
      </w:r>
      <w:r w:rsidRPr="00DE3EEE">
        <w:t xml:space="preserve"> der </w:t>
      </w:r>
      <w:r w:rsidR="00B254EC">
        <w:t>FMEA, sowie den</w:t>
      </w:r>
      <w:r w:rsidRPr="00DE3EEE">
        <w:t xml:space="preserve"> </w:t>
      </w:r>
      <w:r w:rsidR="00B254EC" w:rsidRPr="00DE3EEE">
        <w:t>Fertigung</w:t>
      </w:r>
      <w:r w:rsidR="00BC7EB4">
        <w:t>s</w:t>
      </w:r>
      <w:r w:rsidR="00B254EC">
        <w:t>-</w:t>
      </w:r>
      <w:r w:rsidRPr="00DE3EEE">
        <w:t xml:space="preserve"> und Prüfpl</w:t>
      </w:r>
      <w:r w:rsidR="00B254EC">
        <w:t>ä</w:t>
      </w:r>
      <w:r w:rsidRPr="00DE3EEE">
        <w:t xml:space="preserve">nen </w:t>
      </w:r>
      <w:r w:rsidR="00B254EC">
        <w:t>angewendet werden.</w:t>
      </w:r>
      <w:r w:rsidRPr="00DE3EEE">
        <w:t xml:space="preserve"> </w:t>
      </w:r>
      <w:r w:rsidR="00B254EC">
        <w:t>Eben</w:t>
      </w:r>
      <w:r w:rsidRPr="00DE3EEE">
        <w:t>so werden entsprechende Struktur</w:t>
      </w:r>
      <w:r w:rsidR="00B254EC">
        <w:t xml:space="preserve">- </w:t>
      </w:r>
      <w:r w:rsidR="00BC7EB4">
        <w:t xml:space="preserve">und </w:t>
      </w:r>
      <w:r w:rsidR="00B254EC">
        <w:t>F</w:t>
      </w:r>
      <w:r w:rsidRPr="00DE3EEE">
        <w:t xml:space="preserve">unktionsanalysen </w:t>
      </w:r>
      <w:r w:rsidR="00B254EC">
        <w:t>unterstützt,</w:t>
      </w:r>
      <w:r w:rsidRPr="00DE3EEE">
        <w:t xml:space="preserve"> die in der Vorausplanung der weiteren Qualitätsprozesse eine wichtige Rolle spielen und gegenüber Dritten zu dokumentieren sind</w:t>
      </w:r>
      <w:r w:rsidR="00B254EC">
        <w:t>. Sie fließen</w:t>
      </w:r>
      <w:r w:rsidRPr="00DE3EEE">
        <w:t xml:space="preserve"> in </w:t>
      </w:r>
      <w:r w:rsidR="00B254EC">
        <w:t>Ihren</w:t>
      </w:r>
      <w:r w:rsidRPr="00DE3EEE">
        <w:t xml:space="preserve"> Planungsproze</w:t>
      </w:r>
      <w:r w:rsidR="00B254EC">
        <w:t>ss</w:t>
      </w:r>
      <w:r w:rsidRPr="00DE3EEE">
        <w:t xml:space="preserve"> und </w:t>
      </w:r>
      <w:r w:rsidR="00B254EC">
        <w:t>die</w:t>
      </w:r>
      <w:r w:rsidRPr="00DE3EEE">
        <w:t xml:space="preserve"> Entscheidungsfindung</w:t>
      </w:r>
      <w:r>
        <w:t xml:space="preserve"> </w:t>
      </w:r>
      <w:r w:rsidR="00B254EC">
        <w:t xml:space="preserve">ein und </w:t>
      </w:r>
      <w:r w:rsidR="00B254EC" w:rsidRPr="00DE3EEE">
        <w:t>münden</w:t>
      </w:r>
      <w:r w:rsidR="00B254EC">
        <w:t xml:space="preserve"> mit </w:t>
      </w:r>
      <w:r w:rsidRPr="00DE3EEE">
        <w:t xml:space="preserve">der Umsetzung der FMEA und später dann der Fertigungsbegleitung </w:t>
      </w:r>
      <w:r w:rsidR="00B254EC">
        <w:t>in den</w:t>
      </w:r>
      <w:r w:rsidRPr="00DE3EEE">
        <w:t xml:space="preserve"> Prüfpläne</w:t>
      </w:r>
      <w:r w:rsidR="00B254EC">
        <w:t>n</w:t>
      </w:r>
      <w:r>
        <w:t>.</w:t>
      </w:r>
    </w:p>
    <w:p w14:paraId="2D618AF3" w14:textId="3EA84B46" w:rsidR="000B6A3F" w:rsidRDefault="000B6A3F" w:rsidP="00015C7D">
      <w:pPr>
        <w:pStyle w:val="berschrift1"/>
      </w:pPr>
      <w:r>
        <w:t>FMEA und Risikoanalyse</w:t>
      </w:r>
    </w:p>
    <w:p w14:paraId="595C83D6" w14:textId="3656A8B6" w:rsidR="00167743" w:rsidRPr="00167743" w:rsidRDefault="00BC7EB4" w:rsidP="00167743">
      <w:r>
        <w:t>Über</w:t>
      </w:r>
      <w:r w:rsidR="00167743" w:rsidRPr="00167743">
        <w:t xml:space="preserve"> FMEA und Risikoanalyse kann der Einstieg in die Risikomatrix erfolgen</w:t>
      </w:r>
      <w:r w:rsidR="00B254EC">
        <w:t xml:space="preserve">. </w:t>
      </w:r>
      <w:r>
        <w:t>Dazu</w:t>
      </w:r>
      <w:r w:rsidR="00167743" w:rsidRPr="00167743">
        <w:t xml:space="preserve"> kann eine FMEA durchgeführt werden</w:t>
      </w:r>
      <w:r w:rsidR="00B254EC">
        <w:t xml:space="preserve">, </w:t>
      </w:r>
      <w:r w:rsidR="00167743" w:rsidRPr="00167743">
        <w:t xml:space="preserve">die entweder auf der klassischen </w:t>
      </w:r>
      <w:r w:rsidR="00B254EC">
        <w:t>RPZ</w:t>
      </w:r>
      <w:r w:rsidR="00167743" w:rsidRPr="00167743">
        <w:t xml:space="preserve"> also der Risikoprioritäts</w:t>
      </w:r>
      <w:r w:rsidR="00B254EC">
        <w:t>z</w:t>
      </w:r>
      <w:r w:rsidR="00167743" w:rsidRPr="00167743">
        <w:t>ahl basiert oder mit der neuen Methode der Aufgabenpriorität</w:t>
      </w:r>
      <w:r w:rsidR="00B254EC">
        <w:t xml:space="preserve"> arbeitet, bei der</w:t>
      </w:r>
      <w:r w:rsidR="00167743" w:rsidRPr="00167743">
        <w:t xml:space="preserve"> anhand einer </w:t>
      </w:r>
      <w:r w:rsidR="00B254EC">
        <w:t>Zuordnungsm</w:t>
      </w:r>
      <w:r w:rsidR="00167743" w:rsidRPr="00167743">
        <w:t xml:space="preserve">atrix </w:t>
      </w:r>
      <w:r w:rsidR="00B254EC">
        <w:t xml:space="preserve">entschieden wird, wie </w:t>
      </w:r>
      <w:r w:rsidR="00F002E4">
        <w:t xml:space="preserve">die </w:t>
      </w:r>
      <w:r w:rsidR="00167743" w:rsidRPr="00167743">
        <w:t>Handlungs</w:t>
      </w:r>
      <w:r w:rsidR="00B254EC">
        <w:t xml:space="preserve">priorität zu bewerten ist. </w:t>
      </w:r>
      <w:r w:rsidR="00167743" w:rsidRPr="00167743">
        <w:t xml:space="preserve">Rückkoppelungen </w:t>
      </w:r>
      <w:r w:rsidR="00B254EC">
        <w:t xml:space="preserve">aus der </w:t>
      </w:r>
      <w:r w:rsidR="00B254EC" w:rsidRPr="00B254EC">
        <w:t xml:space="preserve">Fertigungsbegleitung </w:t>
      </w:r>
      <w:r w:rsidR="00B254EC">
        <w:t xml:space="preserve">und dem </w:t>
      </w:r>
      <w:r w:rsidR="00167743" w:rsidRPr="00167743">
        <w:t>Reklamationsmanagement</w:t>
      </w:r>
      <w:r w:rsidR="00B254EC">
        <w:t xml:space="preserve"> sind bei Bedarf ebenfalls möglich, um eine ganzheitliche Risikomatrix abbilden zu können. </w:t>
      </w:r>
      <w:r w:rsidR="00167743" w:rsidRPr="00167743">
        <w:t xml:space="preserve"> </w:t>
      </w:r>
    </w:p>
    <w:p w14:paraId="2363B3D5" w14:textId="0A01614F" w:rsidR="000B6A3F" w:rsidRDefault="00B254EC" w:rsidP="00015C7D">
      <w:pPr>
        <w:pStyle w:val="berschrift1"/>
      </w:pPr>
      <w:r>
        <w:t>Produktions</w:t>
      </w:r>
      <w:r w:rsidR="000C773F">
        <w:t>l</w:t>
      </w:r>
      <w:r>
        <w:t>enkung</w:t>
      </w:r>
    </w:p>
    <w:p w14:paraId="4F698EBA" w14:textId="0BC86856" w:rsidR="00536348" w:rsidRPr="00536348" w:rsidRDefault="00B254EC" w:rsidP="00536348">
      <w:r>
        <w:t>In der Übersicht zur Produktions</w:t>
      </w:r>
      <w:r w:rsidR="000C773F">
        <w:t>l</w:t>
      </w:r>
      <w:r>
        <w:t xml:space="preserve">enkung </w:t>
      </w:r>
      <w:r w:rsidR="00536348" w:rsidRPr="00536348">
        <w:t xml:space="preserve"> </w:t>
      </w:r>
      <w:r w:rsidR="000C773F">
        <w:t>wird</w:t>
      </w:r>
      <w:r w:rsidR="00536348" w:rsidRPr="00536348">
        <w:t xml:space="preserve"> die Anzahl</w:t>
      </w:r>
      <w:r w:rsidR="00167743">
        <w:t xml:space="preserve"> an aktiven</w:t>
      </w:r>
      <w:r w:rsidR="00536348" w:rsidRPr="00536348">
        <w:t xml:space="preserve"> </w:t>
      </w:r>
      <w:r w:rsidRPr="00536348">
        <w:t>Fertigung</w:t>
      </w:r>
      <w:r>
        <w:t>s-</w:t>
      </w:r>
      <w:r w:rsidR="00536348" w:rsidRPr="00536348">
        <w:t xml:space="preserve"> und Prüfbegleitplänen dargestellt und wie viele</w:t>
      </w:r>
      <w:r>
        <w:t xml:space="preserve"> davon</w:t>
      </w:r>
      <w:r w:rsidR="00536348" w:rsidRPr="00536348">
        <w:t xml:space="preserve"> sich jeweils in den Bereichen der Bearbeitung</w:t>
      </w:r>
      <w:r>
        <w:t>,</w:t>
      </w:r>
      <w:r w:rsidR="00536348" w:rsidRPr="00536348">
        <w:t xml:space="preserve"> der Serien</w:t>
      </w:r>
      <w:r>
        <w:t>-</w:t>
      </w:r>
      <w:r w:rsidR="00536348" w:rsidRPr="00536348">
        <w:t xml:space="preserve"> </w:t>
      </w:r>
      <w:r>
        <w:t>oder</w:t>
      </w:r>
      <w:r w:rsidR="00536348" w:rsidRPr="00536348">
        <w:t xml:space="preserve"> Prototypen Prozessen wiederfinden</w:t>
      </w:r>
      <w:r w:rsidR="00827483">
        <w:t>,</w:t>
      </w:r>
      <w:r w:rsidR="00536348" w:rsidRPr="00536348">
        <w:t xml:space="preserve"> sowie </w:t>
      </w:r>
      <w:r w:rsidR="00827483">
        <w:t>den</w:t>
      </w:r>
      <w:r w:rsidR="00536348" w:rsidRPr="00536348">
        <w:t xml:space="preserve"> Anteil ungültiger</w:t>
      </w:r>
      <w:r w:rsidR="00536348">
        <w:t xml:space="preserve"> und sonstiger </w:t>
      </w:r>
      <w:r w:rsidR="00536348" w:rsidRPr="00536348">
        <w:t>Prüfpläne</w:t>
      </w:r>
      <w:r w:rsidR="00827483">
        <w:t xml:space="preserve"> betreffen.</w:t>
      </w:r>
    </w:p>
    <w:p w14:paraId="496CA06A" w14:textId="7C39DDAE" w:rsidR="000B6A3F" w:rsidRDefault="000B6A3F" w:rsidP="00015C7D">
      <w:pPr>
        <w:pStyle w:val="berschrift1"/>
      </w:pPr>
      <w:r>
        <w:t>SPC-Zielvorgaben</w:t>
      </w:r>
    </w:p>
    <w:p w14:paraId="52FA58BE" w14:textId="45E8BE11" w:rsidR="00536348" w:rsidRPr="00536348" w:rsidRDefault="00827483" w:rsidP="00536348">
      <w:r>
        <w:t>Die SPC-</w:t>
      </w:r>
      <w:r w:rsidR="00536348" w:rsidRPr="00536348">
        <w:t>Zielvorgabe</w:t>
      </w:r>
      <w:r>
        <w:t xml:space="preserve">n zeigen </w:t>
      </w:r>
      <w:r w:rsidR="00536348" w:rsidRPr="00536348">
        <w:t>die Anforderungen bei den besonderen Merkmal</w:t>
      </w:r>
      <w:r>
        <w:t>-</w:t>
      </w:r>
      <w:r w:rsidR="00536348" w:rsidRPr="00536348">
        <w:t xml:space="preserve">Klassen innerhalb der </w:t>
      </w:r>
      <w:r>
        <w:t>F</w:t>
      </w:r>
      <w:r w:rsidR="00536348" w:rsidRPr="00536348">
        <w:t>ertigung</w:t>
      </w:r>
      <w:r>
        <w:t>s</w:t>
      </w:r>
      <w:r w:rsidR="00536348" w:rsidRPr="00536348">
        <w:t>begleit</w:t>
      </w:r>
      <w:r>
        <w:t>ung</w:t>
      </w:r>
      <w:r w:rsidR="00536348" w:rsidRPr="00536348">
        <w:t xml:space="preserve"> an</w:t>
      </w:r>
      <w:r>
        <w:t>. E</w:t>
      </w:r>
      <w:r w:rsidR="00536348" w:rsidRPr="00536348">
        <w:t>s wird dargestellt</w:t>
      </w:r>
      <w:r>
        <w:t xml:space="preserve"> welche </w:t>
      </w:r>
      <w:r w:rsidRPr="00536348">
        <w:t xml:space="preserve">Grenzwerte zur akzeptierten Qualitätslage </w:t>
      </w:r>
      <w:r w:rsidR="00536348" w:rsidRPr="00536348">
        <w:t>bei kritischen</w:t>
      </w:r>
      <w:r>
        <w:t xml:space="preserve">, </w:t>
      </w:r>
      <w:r w:rsidR="00536348" w:rsidRPr="00536348">
        <w:t xml:space="preserve"> </w:t>
      </w:r>
      <w:r>
        <w:t>s</w:t>
      </w:r>
      <w:r w:rsidR="00536348" w:rsidRPr="00536348">
        <w:t xml:space="preserve">ignifikanten und </w:t>
      </w:r>
      <w:r>
        <w:t>P</w:t>
      </w:r>
      <w:r w:rsidR="00536348" w:rsidRPr="00536348">
        <w:t>rozessmerkmalen</w:t>
      </w:r>
      <w:r w:rsidR="000C773F">
        <w:t xml:space="preserve"> beitragen</w:t>
      </w:r>
      <w:r w:rsidR="003D21C6">
        <w:t>.</w:t>
      </w:r>
      <w:r w:rsidR="00536348" w:rsidRPr="00536348">
        <w:t xml:space="preserve"> </w:t>
      </w:r>
      <w:r w:rsidR="003D21C6">
        <w:t>Ebenso</w:t>
      </w:r>
      <w:r w:rsidR="00536348" w:rsidRPr="00536348">
        <w:t xml:space="preserve"> </w:t>
      </w:r>
      <w:r w:rsidR="003D21C6">
        <w:t>werden</w:t>
      </w:r>
      <w:r w:rsidR="00536348" w:rsidRPr="00536348">
        <w:t xml:space="preserve"> die maximal akzeptiert</w:t>
      </w:r>
      <w:r w:rsidR="003D21C6">
        <w:t>en</w:t>
      </w:r>
      <w:r w:rsidR="00536348" w:rsidRPr="00536348">
        <w:t xml:space="preserve"> Schwellenwerte für die Fehleranzahl </w:t>
      </w:r>
      <w:r w:rsidR="003D21C6">
        <w:t>bei diesen Merkmalklassen dargestellt.</w:t>
      </w:r>
    </w:p>
    <w:p w14:paraId="5847C887" w14:textId="4A422702" w:rsidR="000B6A3F" w:rsidRDefault="003D21C6" w:rsidP="00015C7D">
      <w:pPr>
        <w:pStyle w:val="berschrift1"/>
      </w:pPr>
      <w:r>
        <w:t>Erstmusterlage bei</w:t>
      </w:r>
      <w:r w:rsidR="000B6A3F">
        <w:t xml:space="preserve"> Lieferant</w:t>
      </w:r>
      <w:r w:rsidR="00015C7D">
        <w:t>en und externe</w:t>
      </w:r>
      <w:r>
        <w:t>n</w:t>
      </w:r>
      <w:r w:rsidR="00015C7D">
        <w:t xml:space="preserve"> Dienstleister</w:t>
      </w:r>
      <w:r>
        <w:t>n</w:t>
      </w:r>
    </w:p>
    <w:p w14:paraId="296917AA" w14:textId="25143341" w:rsidR="00536348" w:rsidRPr="00536348" w:rsidRDefault="003D21C6" w:rsidP="00536348">
      <w:r>
        <w:t>Dar</w:t>
      </w:r>
      <w:r w:rsidR="008932EC">
        <w:t>ge</w:t>
      </w:r>
      <w:r>
        <w:t>stellt wird d</w:t>
      </w:r>
      <w:r w:rsidR="00536348" w:rsidRPr="00536348">
        <w:t>ie Einstufung der Erstbemusterung</w:t>
      </w:r>
      <w:r>
        <w:t>slage,</w:t>
      </w:r>
      <w:r w:rsidR="00536348" w:rsidRPr="00536348">
        <w:t xml:space="preserve"> insgesamt nach Lieferanten und externen Dienstleistern</w:t>
      </w:r>
      <w:r>
        <w:t xml:space="preserve">, </w:t>
      </w:r>
      <w:r w:rsidR="00536348" w:rsidRPr="00536348">
        <w:t>in den Kategorien A</w:t>
      </w:r>
      <w:r>
        <w:t xml:space="preserve">, </w:t>
      </w:r>
      <w:r w:rsidR="00536348" w:rsidRPr="00536348">
        <w:t>B und C</w:t>
      </w:r>
      <w:r>
        <w:t>. Diese wird</w:t>
      </w:r>
      <w:r w:rsidR="00536348" w:rsidRPr="00536348">
        <w:t xml:space="preserve"> visualisiert und demgemäß in Rot</w:t>
      </w:r>
      <w:r>
        <w:t>, G</w:t>
      </w:r>
      <w:r w:rsidR="00536348" w:rsidRPr="00536348">
        <w:t xml:space="preserve">rün oder </w:t>
      </w:r>
      <w:r>
        <w:t>G</w:t>
      </w:r>
      <w:r w:rsidR="00536348" w:rsidRPr="00536348">
        <w:t>elb</w:t>
      </w:r>
      <w:r>
        <w:t xml:space="preserve"> auf der Skala des Messdiagramms eingezeichnet</w:t>
      </w:r>
      <w:r w:rsidR="00536348">
        <w:t>.</w:t>
      </w:r>
    </w:p>
    <w:p w14:paraId="12EC160C" w14:textId="7D463666" w:rsidR="000B6A3F" w:rsidRDefault="000B6A3F" w:rsidP="00015C7D">
      <w:pPr>
        <w:pStyle w:val="berschrift1"/>
      </w:pPr>
      <w:r>
        <w:t>Liefer</w:t>
      </w:r>
      <w:r w:rsidR="00135ECA">
        <w:t>s</w:t>
      </w:r>
      <w:r>
        <w:t>tandorte</w:t>
      </w:r>
    </w:p>
    <w:p w14:paraId="33A6106C" w14:textId="571A194A" w:rsidR="00015C7D" w:rsidRPr="00015C7D" w:rsidRDefault="00135ECA" w:rsidP="00015C7D">
      <w:r>
        <w:t>H</w:t>
      </w:r>
      <w:r w:rsidR="00015C7D" w:rsidRPr="00015C7D">
        <w:t xml:space="preserve">ier werden die Lieferantenstandorte </w:t>
      </w:r>
      <w:r>
        <w:t xml:space="preserve">bezüglich Klassifizierung bei der </w:t>
      </w:r>
      <w:r w:rsidR="00015C7D" w:rsidRPr="00015C7D">
        <w:t xml:space="preserve"> Erstbemusterung aufgeführt und in den Klassen A</w:t>
      </w:r>
      <w:r>
        <w:t xml:space="preserve">, </w:t>
      </w:r>
      <w:r w:rsidR="00015C7D" w:rsidRPr="00015C7D">
        <w:t xml:space="preserve">B oder C nach Standorten mit Ortsmarken innerhalb einer Karte </w:t>
      </w:r>
      <w:r>
        <w:t>markiert. Ü</w:t>
      </w:r>
      <w:r w:rsidR="00015C7D" w:rsidRPr="00015C7D">
        <w:t>ber diese Kachel lässt sich zu den entsprechenden Artikelstammdaten verzweigen</w:t>
      </w:r>
      <w:r>
        <w:t>,</w:t>
      </w:r>
      <w:r w:rsidR="00015C7D" w:rsidRPr="00015C7D">
        <w:t xml:space="preserve"> wo die Angaben zu deren Erstmuster</w:t>
      </w:r>
      <w:r>
        <w:t>-</w:t>
      </w:r>
      <w:r w:rsidR="00015C7D" w:rsidRPr="00015C7D">
        <w:t>Rückmeldungen</w:t>
      </w:r>
      <w:r>
        <w:t xml:space="preserve"> ihrer Lieferanten</w:t>
      </w:r>
      <w:r w:rsidR="00015C7D" w:rsidRPr="00015C7D">
        <w:t xml:space="preserve"> hinterlegt </w:t>
      </w:r>
      <w:r>
        <w:t>werden können</w:t>
      </w:r>
      <w:r w:rsidR="00015C7D">
        <w:t>.</w:t>
      </w:r>
    </w:p>
    <w:p w14:paraId="40227EAA" w14:textId="4E05CC08" w:rsidR="000B6A3F" w:rsidRDefault="007C0EF5" w:rsidP="00015C7D">
      <w:pPr>
        <w:pStyle w:val="berschrift1"/>
      </w:pPr>
      <w:r>
        <w:lastRenderedPageBreak/>
        <w:t>Bemusterungen Intern</w:t>
      </w:r>
    </w:p>
    <w:p w14:paraId="4F713DF3" w14:textId="1067E384" w:rsidR="00015C7D" w:rsidRPr="00015C7D" w:rsidRDefault="00015C7D" w:rsidP="00015C7D">
      <w:r w:rsidRPr="00015C7D">
        <w:t xml:space="preserve">Die </w:t>
      </w:r>
      <w:r w:rsidR="00135ECA">
        <w:t>internen</w:t>
      </w:r>
      <w:r w:rsidRPr="00015C7D">
        <w:t xml:space="preserve"> Einstufungen und Ergebnisse aus den </w:t>
      </w:r>
      <w:r w:rsidR="00135ECA">
        <w:t>Erstbemusterungen werden gemäß der getroffenen Entscheide visualisiert. D</w:t>
      </w:r>
      <w:r w:rsidRPr="00015C7D">
        <w:t>ie Anteile an angenommenen</w:t>
      </w:r>
      <w:r w:rsidR="00135ECA">
        <w:t xml:space="preserve">, eingeschränkt angenommenen </w:t>
      </w:r>
      <w:r w:rsidRPr="00015C7D">
        <w:t>oder abgelehnte</w:t>
      </w:r>
      <w:r w:rsidR="00135ECA">
        <w:t>n</w:t>
      </w:r>
      <w:r w:rsidRPr="00015C7D">
        <w:t xml:space="preserve"> </w:t>
      </w:r>
      <w:r w:rsidR="00135ECA">
        <w:t xml:space="preserve">Bemusterungen, werden </w:t>
      </w:r>
      <w:r w:rsidRPr="00015C7D">
        <w:t>in ihrem jeweiligen Verhältnis zueinander</w:t>
      </w:r>
      <w:r w:rsidR="00135ECA">
        <w:t xml:space="preserve"> aufgeführt.</w:t>
      </w:r>
    </w:p>
    <w:p w14:paraId="73D38BC5" w14:textId="603CC987" w:rsidR="007C0EF5" w:rsidRDefault="00135ECA" w:rsidP="00015C7D">
      <w:pPr>
        <w:pStyle w:val="berschrift1"/>
      </w:pPr>
      <w:r>
        <w:t>Auswertung</w:t>
      </w:r>
      <w:r w:rsidR="007C0EF5">
        <w:t xml:space="preserve"> und </w:t>
      </w:r>
      <w:r>
        <w:t>Analyse</w:t>
      </w:r>
    </w:p>
    <w:p w14:paraId="34F07A50" w14:textId="61F067DB" w:rsidR="00015C7D" w:rsidRPr="00015C7D" w:rsidRDefault="00135ECA" w:rsidP="00015C7D">
      <w:r>
        <w:t xml:space="preserve">Diese </w:t>
      </w:r>
      <w:r w:rsidR="00015C7D" w:rsidRPr="00015C7D">
        <w:t>Kachel ermöglicht den Einstieg in</w:t>
      </w:r>
      <w:r>
        <w:t xml:space="preserve"> PDAP-BI, </w:t>
      </w:r>
      <w:r w:rsidR="008932EC">
        <w:t>für</w:t>
      </w:r>
      <w:r>
        <w:t xml:space="preserve"> </w:t>
      </w:r>
      <w:r w:rsidR="00015C7D" w:rsidRPr="00015C7D">
        <w:t>tief</w:t>
      </w:r>
      <w:r w:rsidR="00DA5B97">
        <w:t>g</w:t>
      </w:r>
      <w:r w:rsidR="00015C7D" w:rsidRPr="00015C7D">
        <w:t>ehende Auswertungen und Analysen</w:t>
      </w:r>
      <w:r>
        <w:t>. H</w:t>
      </w:r>
      <w:r w:rsidR="00015C7D" w:rsidRPr="00015C7D">
        <w:t xml:space="preserve">ier werden besondere Auswertungsmethoden mit </w:t>
      </w:r>
      <w:r>
        <w:t xml:space="preserve">Drilldown, Rollup und individuellen Visuals aus Power Bi genutzt, um tiefgreifende </w:t>
      </w:r>
      <w:r w:rsidR="00DA5B97">
        <w:t>Analysemöglichkeiten</w:t>
      </w:r>
      <w:r>
        <w:t xml:space="preserve"> für</w:t>
      </w:r>
      <w:r w:rsidR="00015C7D" w:rsidRPr="00015C7D">
        <w:t xml:space="preserve"> Quality</w:t>
      </w:r>
      <w:r>
        <w:t>-</w:t>
      </w:r>
      <w:r w:rsidR="00015C7D" w:rsidRPr="00015C7D">
        <w:t>Controller zu bieten</w:t>
      </w:r>
      <w:r w:rsidR="00015C7D">
        <w:t>.</w:t>
      </w:r>
    </w:p>
    <w:p w14:paraId="05FE6140" w14:textId="6BF45065" w:rsidR="007C0EF5" w:rsidRDefault="007C0EF5" w:rsidP="00015C7D">
      <w:pPr>
        <w:pStyle w:val="berschrift1"/>
      </w:pPr>
      <w:r>
        <w:t>Gesamtvi</w:t>
      </w:r>
      <w:r w:rsidR="00135ECA">
        <w:t>s</w:t>
      </w:r>
      <w:r>
        <w:t>u</w:t>
      </w:r>
      <w:r w:rsidR="00135ECA">
        <w:t>alisierung</w:t>
      </w:r>
      <w:r>
        <w:t xml:space="preserve"> des </w:t>
      </w:r>
      <w:r w:rsidR="00135ECA">
        <w:t>Fehleraufkommens</w:t>
      </w:r>
    </w:p>
    <w:p w14:paraId="12638F5C" w14:textId="7FFEBC70" w:rsidR="00DE073D" w:rsidRDefault="00F56DEF">
      <w:r>
        <w:t xml:space="preserve">Hier erhalten Sie eine </w:t>
      </w:r>
      <w:proofErr w:type="spellStart"/>
      <w:r>
        <w:t>Sunburst</w:t>
      </w:r>
      <w:proofErr w:type="spellEnd"/>
      <w:r>
        <w:t>-</w:t>
      </w:r>
      <w:r w:rsidR="00015C7D" w:rsidRPr="00015C7D">
        <w:t xml:space="preserve">Visualisierung </w:t>
      </w:r>
      <w:r>
        <w:t xml:space="preserve">zum gesamten </w:t>
      </w:r>
      <w:r w:rsidR="00015C7D" w:rsidRPr="00015C7D">
        <w:t>Fehleraufkommen</w:t>
      </w:r>
      <w:r>
        <w:t xml:space="preserve">.  </w:t>
      </w:r>
      <w:r w:rsidR="00C43537">
        <w:t>Das</w:t>
      </w:r>
      <w:r w:rsidR="00015C7D" w:rsidRPr="00015C7D">
        <w:t xml:space="preserve"> Chart </w:t>
      </w:r>
      <w:r w:rsidR="00C43537">
        <w:t xml:space="preserve">verdeutlicht </w:t>
      </w:r>
      <w:r w:rsidR="00015C7D" w:rsidRPr="00015C7D">
        <w:t>welche Bereiche von welchen Fehlermerkmalen besonders betroffen sind und wie</w:t>
      </w:r>
      <w:r w:rsidR="00C43537">
        <w:t xml:space="preserve"> sich</w:t>
      </w:r>
      <w:r w:rsidR="00015C7D" w:rsidRPr="00015C7D">
        <w:t xml:space="preserve"> </w:t>
      </w:r>
      <w:r w:rsidR="00C43537">
        <w:t>diese</w:t>
      </w:r>
      <w:r w:rsidR="00015C7D" w:rsidRPr="00015C7D">
        <w:t xml:space="preserve"> </w:t>
      </w:r>
      <w:r w:rsidR="00C43537">
        <w:t>insgesamt auf die Produktgruppen verteilen.</w:t>
      </w:r>
    </w:p>
    <w:p w14:paraId="6A900394" w14:textId="77777777" w:rsidR="00C63758" w:rsidRDefault="00C63758"/>
    <w:p w14:paraId="66FA1A82" w14:textId="60AED780" w:rsidR="00C63758" w:rsidRPr="00C63758" w:rsidRDefault="00041B98">
      <w:pPr>
        <w:rPr>
          <w:rStyle w:val="IntensiverVerweis"/>
        </w:rPr>
      </w:pPr>
      <w:hyperlink r:id="rId9" w:history="1">
        <w:r w:rsidR="00C63758" w:rsidRPr="00041B98">
          <w:rPr>
            <w:rStyle w:val="Hyperlink"/>
            <w:spacing w:val="5"/>
          </w:rPr>
          <w:t>Download als PDF:</w:t>
        </w:r>
      </w:hyperlink>
    </w:p>
    <w:p w14:paraId="04DA1A62" w14:textId="53A0AC3E" w:rsidR="006E132C" w:rsidRDefault="006E132C" w:rsidP="00377363">
      <w:r>
        <w:t xml:space="preserve"> </w:t>
      </w:r>
    </w:p>
    <w:sectPr w:rsidR="006E132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3903" w14:textId="77777777" w:rsidR="00E8232C" w:rsidRDefault="00E8232C" w:rsidP="005B1AE4">
      <w:pPr>
        <w:spacing w:after="0" w:line="240" w:lineRule="auto"/>
      </w:pPr>
      <w:r>
        <w:separator/>
      </w:r>
    </w:p>
  </w:endnote>
  <w:endnote w:type="continuationSeparator" w:id="0">
    <w:p w14:paraId="69291437" w14:textId="77777777" w:rsidR="00E8232C" w:rsidRDefault="00E8232C" w:rsidP="005B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A53F" w14:textId="51AF0D78" w:rsidR="005B1AE4" w:rsidRPr="005B1AE4" w:rsidRDefault="005B1AE4">
    <w:pPr>
      <w:pStyle w:val="Fuzeile"/>
      <w:rPr>
        <w:sz w:val="16"/>
        <w:szCs w:val="16"/>
      </w:rPr>
    </w:pP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  PDAP - Geschäftsbereich der </w:t>
    </w:r>
    <w:proofErr w:type="spellStart"/>
    <w:r>
      <w:rPr>
        <w:sz w:val="16"/>
        <w:szCs w:val="16"/>
      </w:rPr>
      <w:t>JessenLenz</w:t>
    </w:r>
    <w:proofErr w:type="spellEnd"/>
    <w:r>
      <w:rPr>
        <w:sz w:val="16"/>
        <w:szCs w:val="16"/>
      </w:rPr>
      <w:t xml:space="preserve"> GmbH | </w:t>
    </w:r>
    <w:proofErr w:type="spellStart"/>
    <w:r>
      <w:rPr>
        <w:sz w:val="16"/>
        <w:szCs w:val="16"/>
      </w:rPr>
      <w:t>Steinmetzstrasse</w:t>
    </w:r>
    <w:proofErr w:type="spellEnd"/>
    <w:r>
      <w:rPr>
        <w:sz w:val="16"/>
        <w:szCs w:val="16"/>
      </w:rPr>
      <w:t xml:space="preserve"> 3 | D-23556 Lübeck | info@pdap.de | Tel.: 0451 – 87 360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8DB6" w14:textId="77777777" w:rsidR="00E8232C" w:rsidRDefault="00E8232C" w:rsidP="005B1AE4">
      <w:pPr>
        <w:spacing w:after="0" w:line="240" w:lineRule="auto"/>
      </w:pPr>
      <w:r>
        <w:separator/>
      </w:r>
    </w:p>
  </w:footnote>
  <w:footnote w:type="continuationSeparator" w:id="0">
    <w:p w14:paraId="298D46AF" w14:textId="77777777" w:rsidR="00E8232C" w:rsidRDefault="00E8232C" w:rsidP="005B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9E2F" w14:textId="484EC24C" w:rsidR="005B1AE4" w:rsidRDefault="005B1AE4" w:rsidP="005B1AE4">
    <w:pPr>
      <w:pStyle w:val="Kopfzeile"/>
      <w:jc w:val="right"/>
    </w:pPr>
    <w:r>
      <w:rPr>
        <w:rFonts w:ascii="Arial" w:hAnsi="Arial" w:cs="Arial"/>
        <w:sz w:val="16"/>
        <w:szCs w:val="16"/>
      </w:rPr>
      <w:t>CAQ System – Prozesse, Daten, Analysen und Projekte</w:t>
    </w:r>
    <w:r>
      <w:rPr>
        <w:sz w:val="16"/>
        <w:szCs w:val="16"/>
      </w:rPr>
      <w:t xml:space="preserve"> </w:t>
    </w:r>
    <w:r>
      <w:rPr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5A373CFD" wp14:editId="142B9E83">
          <wp:extent cx="771525" cy="359410"/>
          <wp:effectExtent l="0" t="0" r="9525" b="2540"/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2E"/>
    <w:rsid w:val="00015C7D"/>
    <w:rsid w:val="00027004"/>
    <w:rsid w:val="00041B98"/>
    <w:rsid w:val="00093167"/>
    <w:rsid w:val="000B6A3F"/>
    <w:rsid w:val="000C773F"/>
    <w:rsid w:val="00131E70"/>
    <w:rsid w:val="00135ECA"/>
    <w:rsid w:val="001367B5"/>
    <w:rsid w:val="00140F2C"/>
    <w:rsid w:val="00167743"/>
    <w:rsid w:val="0019238E"/>
    <w:rsid w:val="001B533E"/>
    <w:rsid w:val="00320EAE"/>
    <w:rsid w:val="00354D13"/>
    <w:rsid w:val="00377363"/>
    <w:rsid w:val="003A626C"/>
    <w:rsid w:val="003D21C6"/>
    <w:rsid w:val="00434DB2"/>
    <w:rsid w:val="004403E1"/>
    <w:rsid w:val="004E2F2E"/>
    <w:rsid w:val="00517E10"/>
    <w:rsid w:val="00536348"/>
    <w:rsid w:val="005B1AE4"/>
    <w:rsid w:val="005F4A18"/>
    <w:rsid w:val="00653684"/>
    <w:rsid w:val="006D47E6"/>
    <w:rsid w:val="006E132C"/>
    <w:rsid w:val="00716ED1"/>
    <w:rsid w:val="00722CB1"/>
    <w:rsid w:val="007C0EF5"/>
    <w:rsid w:val="007C4A21"/>
    <w:rsid w:val="007D33CC"/>
    <w:rsid w:val="00827483"/>
    <w:rsid w:val="00885186"/>
    <w:rsid w:val="00886356"/>
    <w:rsid w:val="008932EC"/>
    <w:rsid w:val="00AC439F"/>
    <w:rsid w:val="00B038CF"/>
    <w:rsid w:val="00B254EC"/>
    <w:rsid w:val="00BC7EB4"/>
    <w:rsid w:val="00C17723"/>
    <w:rsid w:val="00C43537"/>
    <w:rsid w:val="00C63758"/>
    <w:rsid w:val="00CF0B05"/>
    <w:rsid w:val="00D37B31"/>
    <w:rsid w:val="00D906FE"/>
    <w:rsid w:val="00DA5B97"/>
    <w:rsid w:val="00DE073D"/>
    <w:rsid w:val="00DE3EEE"/>
    <w:rsid w:val="00E2442B"/>
    <w:rsid w:val="00E30E5B"/>
    <w:rsid w:val="00E323F3"/>
    <w:rsid w:val="00E81D88"/>
    <w:rsid w:val="00E8232C"/>
    <w:rsid w:val="00EA5A1E"/>
    <w:rsid w:val="00F002E4"/>
    <w:rsid w:val="00F2225C"/>
    <w:rsid w:val="00F3260C"/>
    <w:rsid w:val="00F35ACF"/>
    <w:rsid w:val="00F56DEF"/>
    <w:rsid w:val="00F72C51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2A12"/>
  <w15:chartTrackingRefBased/>
  <w15:docId w15:val="{1A6C2639-9921-458C-8C96-D582F243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B6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5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22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22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iPriority w:val="35"/>
    <w:unhideWhenUsed/>
    <w:qFormat/>
    <w:rsid w:val="008851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6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5C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3E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3EEE"/>
    <w:rPr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DE3EEE"/>
    <w:rPr>
      <w:b/>
      <w:bCs/>
      <w:smallCaps/>
      <w:color w:val="4472C4" w:themeColor="accen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5B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E4"/>
  </w:style>
  <w:style w:type="paragraph" w:styleId="Fuzeile">
    <w:name w:val="footer"/>
    <w:basedOn w:val="Standard"/>
    <w:link w:val="FuzeileZchn"/>
    <w:uiPriority w:val="99"/>
    <w:unhideWhenUsed/>
    <w:rsid w:val="005B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E4"/>
  </w:style>
  <w:style w:type="character" w:styleId="Hyperlink">
    <w:name w:val="Hyperlink"/>
    <w:basedOn w:val="Absatz-Standardschriftart"/>
    <w:uiPriority w:val="99"/>
    <w:unhideWhenUsed/>
    <w:rsid w:val="00041B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1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dap.de/wp-content/uploads/2016/03/brandshots/Dashboard%20APQP%20Prozess-%20und%20Qualit&#228;tsvorausplanu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20E1-C6BB-40A3-B1F4-07678B21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47</cp:revision>
  <cp:lastPrinted>2022-02-22T21:12:00Z</cp:lastPrinted>
  <dcterms:created xsi:type="dcterms:W3CDTF">2022-02-21T12:08:00Z</dcterms:created>
  <dcterms:modified xsi:type="dcterms:W3CDTF">2022-02-22T21:12:00Z</dcterms:modified>
</cp:coreProperties>
</file>